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spacing w:val="-10"/>
          <w:szCs w:val="28"/>
        </w:rPr>
      </w:pPr>
      <w:bookmarkStart w:id="1" w:name="_GoBack"/>
      <w:bookmarkStart w:id="0" w:name="_Toc465"/>
      <w:r>
        <w:rPr>
          <w:rFonts w:hint="eastAsia"/>
          <w:lang w:eastAsia="zh-CN"/>
        </w:rPr>
        <w:t>体育教研部</w:t>
      </w:r>
      <w:r>
        <w:rPr>
          <w:rFonts w:hint="eastAsia"/>
        </w:rPr>
        <w:t>优秀教案评选办法</w:t>
      </w:r>
      <w:bookmarkEnd w:id="1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72" w:firstLineChars="20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为增强教师敬业的精神，深化教学改革，推进《全国普通高等学校体育教学指导纲要》精神的贯彻和落实，加强教学管理，提高教学质量，从教学的每个环节抓起，强化激励机制，鼓励全体教师（教练员）认真钻研教材教法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53" w:firstLineChars="192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一、评选条件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53" w:firstLineChars="192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1、有当代的教学理念，目标明确，任务确定的科学合理，组织教法科学，符合教学规律。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72" w:firstLineChars="20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2、教案中应有完整的本学期教学进度、上课时间、班级及学生名册，能认真考勤。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72" w:firstLineChars="20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3、 教案撰写的有质量，格式符合规定要求并经过教研室领导审核签字。</w:t>
      </w:r>
    </w:p>
    <w:p>
      <w:pPr>
        <w:keepNext w:val="0"/>
        <w:keepLines w:val="0"/>
        <w:pageBreakBefore w:val="0"/>
        <w:tabs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72" w:firstLineChars="20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4、认真进行课后记录。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72" w:firstLineChars="20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二、奖励办法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72" w:firstLineChars="20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1、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每年组织一次年度优秀教案评选工作，评选出的优秀教案进行公开展示宣传，比较差的教案要进行帮助、改进，目的是促进整体水平的提高。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72" w:firstLineChars="20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2、根据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的经济条件，对优秀教案奖励100元，指标控制在教师的15%。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B2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