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45" w:rsidRPr="00EA6645" w:rsidRDefault="00EA6645" w:rsidP="00EA6645">
      <w:pPr>
        <w:pStyle w:val="a5"/>
        <w:shd w:val="clear" w:color="auto" w:fill="FFFFFF"/>
        <w:spacing w:before="300" w:beforeAutospacing="0" w:after="0" w:afterAutospacing="0" w:line="630" w:lineRule="atLeast"/>
        <w:jc w:val="center"/>
        <w:rPr>
          <w:rFonts w:ascii="微软雅黑" w:eastAsia="微软雅黑" w:hAnsi="微软雅黑" w:hint="eastAsia"/>
          <w:b/>
          <w:color w:val="333333"/>
          <w:sz w:val="32"/>
          <w:szCs w:val="32"/>
        </w:rPr>
      </w:pPr>
      <w:r w:rsidRPr="00EA6645">
        <w:rPr>
          <w:rFonts w:ascii="微软雅黑" w:eastAsia="微软雅黑" w:hAnsi="微软雅黑" w:hint="eastAsia"/>
          <w:b/>
          <w:color w:val="333333"/>
          <w:sz w:val="32"/>
          <w:szCs w:val="32"/>
          <w:shd w:val="clear" w:color="auto" w:fill="FFFFFF"/>
        </w:rPr>
        <w:t>关于中国共产</w:t>
      </w:r>
      <w:bookmarkStart w:id="0" w:name="_GoBack"/>
      <w:bookmarkEnd w:id="0"/>
      <w:r w:rsidRPr="00EA6645">
        <w:rPr>
          <w:rFonts w:ascii="微软雅黑" w:eastAsia="微软雅黑" w:hAnsi="微软雅黑" w:hint="eastAsia"/>
          <w:b/>
          <w:color w:val="333333"/>
          <w:sz w:val="32"/>
          <w:szCs w:val="32"/>
          <w:shd w:val="clear" w:color="auto" w:fill="FFFFFF"/>
        </w:rPr>
        <w:t>党党费收缴、使用和管理的规定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经党中央批准，中央组织部2008年2月4日印发《关于中国共产党党费收缴、使用和管理的规定》（以下简称《党费收缴规定》）。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费收缴规定》按照机关、事业单位工资制度改革后的工资构成和目前企业工资构成的实际，明确了在职党员交纳党费的计算基数，并根据新形势下党员收入变化情况，将在职党员交纳党费的档次和比例，由过去的五个档次五个比例调整为四个档次四个比例，即“相对固定的、经常性的工资收入（税后）每月3000元（含）以下的按0.5%，3000－5000元（含）的按1%，5000－10000元（含）的按1.5%，10000元以上的按2%的比例交纳党费。《党费收缴规定》对离退休人员中的党员，由过去参照在职人员党员交纳党费办法执行，调整为每月以离退休费总额或养老保险金总额为计算基数，5000元及以下的按0.5%、5000元以上的按1%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费收缴规定》明确，农民党员每月交纳党费标准为0.2元－1元，其具体标准由各省、自治区、直辖市党委根据本地情况确定；学生党员、领取当地最低生活保障金等低收入的党员交纳党费的标准，仍为每月0.2元。《党费收缴规定》对实行年薪制人员中的党员和不按月领取收入的党员交纳党费办法也做了规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费收缴规定》提出，党员自愿多交党费不限；交纳党费确有困难的党员，经党支部研究，报上一级党委批准后，可以少交或免交党费。《党费收缴规定》要求，使用和留存党费要向基层党组织倾斜；要把党费工作情况作为党务公开的一项重要内容，定期公开党费收缴、使用和管理情况，切实加强对党费工作的检查、监督和管理。　</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《党费收缴规定》从2008年4月1日起执行。</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全文如下：</w:t>
      </w:r>
    </w:p>
    <w:p w:rsidR="00EA6645" w:rsidRDefault="00EA6645" w:rsidP="00EA6645">
      <w:pPr>
        <w:pStyle w:val="a5"/>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6"/>
          <w:rFonts w:ascii="微软雅黑" w:eastAsia="微软雅黑" w:hAnsi="微软雅黑" w:hint="eastAsia"/>
          <w:color w:val="333333"/>
          <w:sz w:val="27"/>
          <w:szCs w:val="27"/>
        </w:rPr>
        <w:t>关于中国共产党党费收缴、使用和管理的规定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一、党费收缴</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按月领取工资的党员，每月以工资总额中相对固定的、经常性的工资收入（税后）为计算基数，按规定比例交纳党费。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工资总额中相对固定的、经常性的工资收入包括：机关工作人员（不含工人）的职务工资、级别工资、津贴补贴；事业单位工作人员的岗位工资、薪级工资、绩效工资、津贴补贴；机关工人的岗位工资、技术等</w:t>
      </w:r>
      <w:r>
        <w:rPr>
          <w:rFonts w:ascii="微软雅黑" w:eastAsia="微软雅黑" w:hAnsi="微软雅黑" w:hint="eastAsia"/>
          <w:color w:val="333333"/>
          <w:sz w:val="27"/>
          <w:szCs w:val="27"/>
        </w:rPr>
        <w:lastRenderedPageBreak/>
        <w:t>级（职务）工资、津贴补贴；企业人员工资收入中的固定部分（基本工资、岗位工资）和活的部分(奖金）。</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员交纳党费的比例为：每月工资收入（税后）在3000元以下（含3000元）者，交纳月工资收入的0．5％；3000元以上至5000元（含5000元）者，交纳1％；5000元以上至10000元（含10000元）者，交纳1．5％；10000元以上者，交纳2％。</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实行年薪制人员中的党员，每月以当月实际领取的薪酬收入为计算基数，参照第一条、第二条规定交纳党费。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不按月取得收入的个体经营者等人员中的党员，每月以个人上季度月平均纯收入为计算基数，参照第一条、第二条规定交纳党费。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离退休干部、职工中的党员，每月以实际领取的离退休费总额或养老金总额为计算基数，5000元以下（含5000元）的按0．5％交纳党费，5000元以上的按1％交纳党费。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农民党员每月交纳党费0．2元—1元。学生党员、下岗失业的党员、依靠抚恤或救济生活的党员、领取当地最低生活保障金的党员，每月交纳党费0．2元。</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交纳党费确有困难的党员，经党支部研究，报上一级党委批准后，可以少交或免交党费。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第八条　预备党员从支部大会通过其为预备党员之日起交纳党费。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党员一般应当向其正式组织关系所在的党支部交纳党费。持《中国共产党流动党员活动证》的党员，外出期间可以持证向流入地党组织交纳党费。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党员工资收入发生变化后，从按新工资标准领取工资的当月起，以新的工资收入为基数，按照规定比例交纳党费。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党员应当增强党员意识，主动按月交纳党费。遇到特殊情况，经党支部同意，可以每季度交纳一次党费，也可以委托其亲属或者其他党员代为交纳或者补交党费。补交党费的时间一般不得超过6个月。</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对不按照规定交纳党费的党员，其所在党组织应及时对其进行批评教育，限期改正。对无正当理由，连续6个月</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交纳党费的党员，按自行脱党处理。</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第十四条　党组织应当按照规定收缴党员党费，不得垫交或扣缴党员党费，不得要求党员交纳规定以外的各种名目的“特殊党费”。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 xml:space="preserve">　二、党费使用</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使用党费应当坚持统筹安排、量入为出、收支平衡、略有结余的原则。</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使用党费要向农村、街道社区和其他有困难的基层党组织倾斜。</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党费必须</w:t>
      </w:r>
      <w:proofErr w:type="gramStart"/>
      <w:r>
        <w:rPr>
          <w:rFonts w:ascii="微软雅黑" w:eastAsia="微软雅黑" w:hAnsi="微软雅黑" w:hint="eastAsia"/>
          <w:color w:val="333333"/>
          <w:sz w:val="27"/>
          <w:szCs w:val="27"/>
        </w:rPr>
        <w:t>用于党</w:t>
      </w:r>
      <w:proofErr w:type="gramEnd"/>
      <w:r>
        <w:rPr>
          <w:rFonts w:ascii="微软雅黑" w:eastAsia="微软雅黑" w:hAnsi="微软雅黑" w:hint="eastAsia"/>
          <w:color w:val="333333"/>
          <w:sz w:val="27"/>
          <w:szCs w:val="27"/>
        </w:rPr>
        <w:t>的活动，主要作为党员教育经费的补充，其具体使用范围包括：（1）培训党员；（2）订阅或购买用于开展党员</w:t>
      </w:r>
      <w:r>
        <w:rPr>
          <w:rFonts w:ascii="微软雅黑" w:eastAsia="微软雅黑" w:hAnsi="微软雅黑" w:hint="eastAsia"/>
          <w:color w:val="333333"/>
          <w:sz w:val="27"/>
          <w:szCs w:val="27"/>
        </w:rPr>
        <w:lastRenderedPageBreak/>
        <w:t>教育的报刊、资料、音像制品和设备；（3）表彰先进基层党组织、优秀共产党员和优秀党务工作者；（4）补助生活困难的党员；（5）补助遭受严重自然灾害的党员和</w:t>
      </w:r>
      <w:proofErr w:type="gramStart"/>
      <w:r>
        <w:rPr>
          <w:rFonts w:ascii="微软雅黑" w:eastAsia="微软雅黑" w:hAnsi="微软雅黑" w:hint="eastAsia"/>
          <w:color w:val="333333"/>
          <w:sz w:val="27"/>
          <w:szCs w:val="27"/>
        </w:rPr>
        <w:t>修缮因</w:t>
      </w:r>
      <w:proofErr w:type="gramEnd"/>
      <w:r>
        <w:rPr>
          <w:rFonts w:ascii="微软雅黑" w:eastAsia="微软雅黑" w:hAnsi="微软雅黑" w:hint="eastAsia"/>
          <w:color w:val="333333"/>
          <w:sz w:val="27"/>
          <w:szCs w:val="27"/>
        </w:rPr>
        <w:t>灾受损的基层党员教育设施。</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使用和下拨党费，必须集体讨论决定，不得个人或者少数人说了算。</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请求下拨党费的请示，应当向上一级党组织提出，不得越级申请。上级党组织下拨的党费，必须专款专用，不得挪作他用。</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6"/>
          <w:rFonts w:ascii="微软雅黑" w:eastAsia="微软雅黑" w:hAnsi="微软雅黑" w:hint="eastAsia"/>
          <w:color w:val="333333"/>
          <w:sz w:val="27"/>
          <w:szCs w:val="27"/>
        </w:rPr>
        <w:t xml:space="preserve">　三、党费管理</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党费由党委组织部门代党委统一管理。党费的具体管理工作由各级党委组织部门承担党员教育管理职能的内设机构承办。</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w:t>
      </w:r>
      <w:r>
        <w:rPr>
          <w:rFonts w:ascii="微软雅黑" w:eastAsia="微软雅黑" w:hAnsi="微软雅黑" w:hint="eastAsia"/>
          <w:color w:val="333333"/>
          <w:sz w:val="27"/>
          <w:szCs w:val="27"/>
        </w:rPr>
        <w:lastRenderedPageBreak/>
        <w:t>安全，不得利用党费账户从事经济活动，不得将党费用于购买国债以外的投资。</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各省、自治区、直辖市党委组织部，中央直属机关工委、中央国家机关工委组织部，国务院国资委党委、中央各金融机构党</w:t>
      </w:r>
      <w:r>
        <w:rPr>
          <w:rFonts w:ascii="微软雅黑" w:eastAsia="微软雅黑" w:hAnsi="微软雅黑" w:hint="eastAsia"/>
          <w:color w:val="333333"/>
          <w:sz w:val="27"/>
          <w:szCs w:val="27"/>
        </w:rPr>
        <w:lastRenderedPageBreak/>
        <w:t>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各级党委组织部门每年要检查一次党费收缴、使用和管理的情况，总结经验，发现问题，及时纠正。</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对违反党费收缴、使用和管理规定的，依据《中国共产党纪律处分条例》及有关规定严肃查处，触犯刑律的依法处理。</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中国人民解放军和中国人民武装警察部队中的党组织收缴、使用和管理党费的办法，由解放军总政治部参照本规定制定。</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本规定自2008年4月1日起施行，过去规定与本规定不一致的，以本规定为准。</w:t>
      </w:r>
    </w:p>
    <w:p w:rsidR="00EA6645" w:rsidRDefault="00EA6645" w:rsidP="00EA6645">
      <w:pPr>
        <w:pStyle w:val="a5"/>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本规定由中央组织部负责解释。</w:t>
      </w:r>
    </w:p>
    <w:p w:rsidR="006E6AA0" w:rsidRPr="00EA6645" w:rsidRDefault="006E6AA0"/>
    <w:sectPr w:rsidR="006E6AA0" w:rsidRPr="00EA6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3C" w:rsidRDefault="00BD0B3C" w:rsidP="00EA6645">
      <w:r>
        <w:separator/>
      </w:r>
    </w:p>
  </w:endnote>
  <w:endnote w:type="continuationSeparator" w:id="0">
    <w:p w:rsidR="00BD0B3C" w:rsidRDefault="00BD0B3C" w:rsidP="00EA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3C" w:rsidRDefault="00BD0B3C" w:rsidP="00EA6645">
      <w:r>
        <w:separator/>
      </w:r>
    </w:p>
  </w:footnote>
  <w:footnote w:type="continuationSeparator" w:id="0">
    <w:p w:rsidR="00BD0B3C" w:rsidRDefault="00BD0B3C" w:rsidP="00EA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26"/>
    <w:rsid w:val="00046A26"/>
    <w:rsid w:val="00064303"/>
    <w:rsid w:val="006E6AA0"/>
    <w:rsid w:val="00BD0B3C"/>
    <w:rsid w:val="00CD5C5A"/>
    <w:rsid w:val="00EA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645"/>
    <w:rPr>
      <w:sz w:val="18"/>
      <w:szCs w:val="18"/>
    </w:rPr>
  </w:style>
  <w:style w:type="paragraph" w:styleId="a4">
    <w:name w:val="footer"/>
    <w:basedOn w:val="a"/>
    <w:link w:val="Char0"/>
    <w:uiPriority w:val="99"/>
    <w:unhideWhenUsed/>
    <w:rsid w:val="00EA6645"/>
    <w:pPr>
      <w:tabs>
        <w:tab w:val="center" w:pos="4153"/>
        <w:tab w:val="right" w:pos="8306"/>
      </w:tabs>
      <w:snapToGrid w:val="0"/>
      <w:jc w:val="left"/>
    </w:pPr>
    <w:rPr>
      <w:sz w:val="18"/>
      <w:szCs w:val="18"/>
    </w:rPr>
  </w:style>
  <w:style w:type="character" w:customStyle="1" w:styleId="Char0">
    <w:name w:val="页脚 Char"/>
    <w:basedOn w:val="a0"/>
    <w:link w:val="a4"/>
    <w:uiPriority w:val="99"/>
    <w:rsid w:val="00EA6645"/>
    <w:rPr>
      <w:sz w:val="18"/>
      <w:szCs w:val="18"/>
    </w:rPr>
  </w:style>
  <w:style w:type="paragraph" w:styleId="a5">
    <w:name w:val="Normal (Web)"/>
    <w:basedOn w:val="a"/>
    <w:uiPriority w:val="99"/>
    <w:semiHidden/>
    <w:unhideWhenUsed/>
    <w:rsid w:val="00EA66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66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6645"/>
    <w:rPr>
      <w:sz w:val="18"/>
      <w:szCs w:val="18"/>
    </w:rPr>
  </w:style>
  <w:style w:type="paragraph" w:styleId="a4">
    <w:name w:val="footer"/>
    <w:basedOn w:val="a"/>
    <w:link w:val="Char0"/>
    <w:uiPriority w:val="99"/>
    <w:unhideWhenUsed/>
    <w:rsid w:val="00EA6645"/>
    <w:pPr>
      <w:tabs>
        <w:tab w:val="center" w:pos="4153"/>
        <w:tab w:val="right" w:pos="8306"/>
      </w:tabs>
      <w:snapToGrid w:val="0"/>
      <w:jc w:val="left"/>
    </w:pPr>
    <w:rPr>
      <w:sz w:val="18"/>
      <w:szCs w:val="18"/>
    </w:rPr>
  </w:style>
  <w:style w:type="character" w:customStyle="1" w:styleId="Char0">
    <w:name w:val="页脚 Char"/>
    <w:basedOn w:val="a0"/>
    <w:link w:val="a4"/>
    <w:uiPriority w:val="99"/>
    <w:rsid w:val="00EA6645"/>
    <w:rPr>
      <w:sz w:val="18"/>
      <w:szCs w:val="18"/>
    </w:rPr>
  </w:style>
  <w:style w:type="paragraph" w:styleId="a5">
    <w:name w:val="Normal (Web)"/>
    <w:basedOn w:val="a"/>
    <w:uiPriority w:val="99"/>
    <w:semiHidden/>
    <w:unhideWhenUsed/>
    <w:rsid w:val="00EA66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6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8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2018-10-30T06:23:00Z</dcterms:created>
  <dcterms:modified xsi:type="dcterms:W3CDTF">2018-10-30T06:24:00Z</dcterms:modified>
</cp:coreProperties>
</file>